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E43" w:rsidRPr="009455A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455AE">
        <w:rPr>
          <w:rFonts w:ascii="Calibri" w:eastAsia="Calibri" w:hAnsi="Calibri" w:cs="Calibri"/>
          <w:b/>
          <w:color w:val="000000"/>
          <w:sz w:val="22"/>
          <w:szCs w:val="22"/>
        </w:rPr>
        <w:t>Lista de Acciones Denunciables</w:t>
      </w:r>
    </w:p>
    <w:p w:rsidR="00117E43" w:rsidRPr="009455AE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9455AE">
        <w:rPr>
          <w:rFonts w:ascii="Calibri" w:eastAsia="Calibri" w:hAnsi="Calibri" w:cs="Calibri"/>
          <w:color w:val="000000"/>
          <w:sz w:val="22"/>
          <w:szCs w:val="22"/>
        </w:rPr>
        <w:t xml:space="preserve">Dentro de las posibles conductas que pueden ser denunciadas a través del canal de denuncia, se encuentran: </w:t>
      </w:r>
    </w:p>
    <w:p w:rsidR="00117E43" w:rsidRPr="009455AE" w:rsidRDefault="00117E43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corrupción pública.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corrupción en los negocios.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estafa.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 de insolvencias punibles / frustración de la ejecución.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Delitos relativos a daños informáticos.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relativos a la propiedad intelectual e industrial.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Delitos de secreto de empresa.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contra la intimidad personal y familiar.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fraude contra la Hacienda Pública.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relativos al incumplimiento y falsedad de obligaciones contables.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fraude contra la Seguridad Social.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fraude de subvenciones.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 de fraude a los Presupuestos Generales de la UE.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contra los recursos naturales y el medio ambiente.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publicidad engañosa.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 de blanqueo de capitales y financiación del terrorismo.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contrabando.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de riesgos provocados por explosivos y otros agentes.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bursátil.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contra los derechos de los ciudadanos extranjeros.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Delitos contra la salud pública.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 de fijación de precios.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facturación fraudulenta.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falsificación de moneda y efectos timbrados.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 xml:space="preserve">Delitos de alteración de precios en concursos y subastas públicas. 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Delitos contra los derechos de los trabajadores.</w:t>
      </w:r>
    </w:p>
    <w:p w:rsidR="00117E43" w:rsidRPr="009455AE" w:rsidRDefault="00000000">
      <w:pPr>
        <w:numPr>
          <w:ilvl w:val="0"/>
          <w:numId w:val="1"/>
        </w:num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 w:rsidRPr="009455AE">
        <w:rPr>
          <w:rFonts w:ascii="Calibri" w:eastAsia="Calibri" w:hAnsi="Calibri" w:cs="Calibri"/>
          <w:sz w:val="22"/>
          <w:szCs w:val="22"/>
        </w:rPr>
        <w:t>Delito de negativa a la actividad inspectora.</w:t>
      </w:r>
    </w:p>
    <w:p w:rsidR="00117E43" w:rsidRPr="009455AE" w:rsidRDefault="00117E43">
      <w:pPr>
        <w:spacing w:line="276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17E43" w:rsidRPr="009455AE" w:rsidRDefault="00000000" w:rsidP="00C37DD4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  <w:sectPr w:rsidR="00117E43" w:rsidRPr="009455AE" w:rsidSect="0016611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17" w:right="1701" w:bottom="1417" w:left="1701" w:header="1283" w:footer="1002" w:gutter="0"/>
          <w:pgNumType w:start="1"/>
          <w:cols w:space="720"/>
        </w:sectPr>
      </w:pPr>
      <w:r w:rsidRPr="009455AE">
        <w:rPr>
          <w:rFonts w:ascii="Calibri" w:eastAsia="Calibri" w:hAnsi="Calibri" w:cs="Calibri"/>
          <w:sz w:val="22"/>
          <w:szCs w:val="22"/>
        </w:rPr>
        <w:t xml:space="preserve">La presente enumeración es enunciativa, por tanto, también podrán ser denunciables a través de este canal todas aquellas conductas que resulten contrarias a los principios y normas de conducta establecidas en el Código de Conducta de </w:t>
      </w:r>
      <w:r w:rsidR="00C37DD4" w:rsidRPr="00C37DD4">
        <w:rPr>
          <w:rFonts w:ascii="Calibri" w:eastAsia="Calibri" w:hAnsi="Calibri" w:cs="Calibri"/>
          <w:b/>
          <w:bCs/>
          <w:sz w:val="22"/>
          <w:szCs w:val="22"/>
        </w:rPr>
        <w:t>GERUSIA S.L</w:t>
      </w:r>
      <w:r w:rsidRPr="009455AE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Pr="009455AE">
        <w:rPr>
          <w:rFonts w:ascii="Calibri" w:eastAsia="Calibri" w:hAnsi="Calibri" w:cs="Calibri"/>
          <w:sz w:val="22"/>
          <w:szCs w:val="22"/>
        </w:rPr>
        <w:t>normas y procedimientos internos y, en general, toda conducta que atente contra el ordenamiento jurídico Nacional y Europeo.</w:t>
      </w:r>
    </w:p>
    <w:p w:rsidR="00117E43" w:rsidRDefault="00117E43" w:rsidP="00C37DD4">
      <w:pP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sectPr w:rsidR="00117E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2552" w:right="1418" w:bottom="1418" w:left="1701" w:header="851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611A" w:rsidRDefault="0016611A">
      <w:pPr>
        <w:spacing w:line="240" w:lineRule="auto"/>
        <w:ind w:left="0" w:hanging="2"/>
      </w:pPr>
      <w:r>
        <w:separator/>
      </w:r>
    </w:p>
  </w:endnote>
  <w:endnote w:type="continuationSeparator" w:id="0">
    <w:p w:rsidR="0016611A" w:rsidRDefault="001661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Garamond" w:eastAsia="Garamond" w:hAnsi="Garamond" w:cs="Garamond"/>
        <w:color w:val="FF0000"/>
      </w:rPr>
    </w:pPr>
    <w:r>
      <w:rPr>
        <w:rFonts w:ascii="Calibri" w:eastAsia="Calibri" w:hAnsi="Calibri" w:cs="Calibri"/>
        <w:b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b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:rsidR="00117E43" w:rsidRDefault="00117E43">
    <w:pPr>
      <w:ind w:left="0" w:hanging="2"/>
    </w:pPr>
  </w:p>
  <w:p w:rsidR="00117E43" w:rsidRDefault="00117E43">
    <w:pPr>
      <w:ind w:left="0" w:hanging="2"/>
    </w:pPr>
  </w:p>
  <w:p w:rsidR="00117E43" w:rsidRDefault="00117E43">
    <w:pPr>
      <w:ind w:left="0" w:hanging="2"/>
    </w:pPr>
  </w:p>
  <w:p w:rsidR="00117E43" w:rsidRDefault="00117E43">
    <w:pPr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611A" w:rsidRDefault="0016611A">
      <w:pPr>
        <w:spacing w:line="240" w:lineRule="auto"/>
        <w:ind w:left="0" w:hanging="2"/>
      </w:pPr>
      <w:r>
        <w:separator/>
      </w:r>
    </w:p>
  </w:footnote>
  <w:footnote w:type="continuationSeparator" w:id="0">
    <w:p w:rsidR="0016611A" w:rsidRDefault="001661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2800"/>
      <w:gridCol w:w="8116"/>
    </w:tblGrid>
    <w:tr w:rsidR="00266E51" w:rsidRPr="00DF5B0A" w:rsidTr="00F57519">
      <w:trPr>
        <w:trHeight w:val="1477"/>
      </w:trPr>
      <w:tc>
        <w:tcPr>
          <w:tcW w:w="2798" w:type="dxa"/>
          <w:vAlign w:val="center"/>
        </w:tcPr>
        <w:p w:rsidR="00266E51" w:rsidRPr="00C555E2" w:rsidRDefault="00266E51" w:rsidP="00266E51">
          <w:pPr>
            <w:pStyle w:val="Encabezado"/>
            <w:ind w:left="0" w:hanging="2"/>
            <w:rPr>
              <w:rFonts w:ascii="Calibri" w:hAnsi="Calibri" w:cs="Calibri"/>
              <w:szCs w:val="24"/>
            </w:rPr>
          </w:pPr>
          <w:r w:rsidRPr="0095115C">
            <w:rPr>
              <w:noProof/>
            </w:rPr>
            <w:drawing>
              <wp:inline distT="0" distB="0" distL="0" distR="0" wp14:anchorId="27A0648F" wp14:editId="4F3E8D67">
                <wp:extent cx="1642110" cy="816610"/>
                <wp:effectExtent l="0" t="0" r="0" b="0"/>
                <wp:docPr id="1" name="5 Imagen" descr="999104398_foto_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5 Imagen" descr="999104398_foto_h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11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8" w:type="dxa"/>
          <w:vAlign w:val="center"/>
        </w:tcPr>
        <w:p w:rsidR="00266E51" w:rsidRPr="000A607B" w:rsidRDefault="00E56A9C" w:rsidP="00266E51">
          <w:pPr>
            <w:pStyle w:val="Encabezado"/>
            <w:pBdr>
              <w:bottom w:val="thickThinSmallGap" w:sz="24" w:space="1" w:color="632423"/>
            </w:pBdr>
            <w:ind w:left="0" w:hanging="2"/>
            <w:jc w:val="center"/>
            <w:rPr>
              <w:rFonts w:ascii="Calibri" w:hAnsi="Calibri" w:cs="Calibri"/>
              <w:sz w:val="24"/>
              <w:szCs w:val="24"/>
            </w:rPr>
          </w:pPr>
          <w:r>
            <w:rPr>
              <w:rFonts w:ascii="Calibri" w:hAnsi="Calibri" w:cs="Calibri"/>
              <w:sz w:val="24"/>
              <w:szCs w:val="24"/>
            </w:rPr>
            <w:t>CANAL DE DENUNCIAS</w:t>
          </w:r>
          <w:r w:rsidR="00266E51" w:rsidRPr="000A607B">
            <w:rPr>
              <w:rFonts w:ascii="Calibri" w:hAnsi="Calibri" w:cs="Calibri"/>
              <w:sz w:val="24"/>
              <w:szCs w:val="24"/>
            </w:rPr>
            <w:t xml:space="preserve"> – </w:t>
          </w:r>
          <w:r w:rsidR="00266E51" w:rsidRPr="000A607B">
            <w:rPr>
              <w:rFonts w:ascii="Calibri" w:hAnsi="Calibri" w:cs="Calibri"/>
              <w:b/>
              <w:sz w:val="24"/>
              <w:szCs w:val="24"/>
            </w:rPr>
            <w:t>GERUSIA, S.L</w:t>
          </w:r>
        </w:p>
        <w:p w:rsidR="00266E51" w:rsidRPr="00DF5B0A" w:rsidRDefault="00266E51" w:rsidP="00266E51">
          <w:pPr>
            <w:pStyle w:val="Encabezado"/>
            <w:ind w:left="0" w:hanging="2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sz w:val="24"/>
              <w:szCs w:val="24"/>
            </w:rPr>
            <w:t>GE-CD</w:t>
          </w:r>
          <w:r w:rsidR="00AB56E6">
            <w:rPr>
              <w:rFonts w:ascii="Calibri" w:hAnsi="Calibri" w:cs="Calibri"/>
              <w:sz w:val="24"/>
              <w:szCs w:val="24"/>
            </w:rPr>
            <w:t>-01.1</w:t>
          </w:r>
          <w:r>
            <w:rPr>
              <w:rFonts w:ascii="Calibri" w:hAnsi="Calibri" w:cs="Calibri"/>
              <w:sz w:val="24"/>
              <w:szCs w:val="24"/>
            </w:rPr>
            <w:t>- LISTA DE ACCIONES DENUNCIABLES ED.01 (18/01/2024)</w:t>
          </w:r>
        </w:p>
      </w:tc>
    </w:tr>
  </w:tbl>
  <w:p w:rsidR="00117E43" w:rsidRPr="00266E51" w:rsidRDefault="00117E43" w:rsidP="00266E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Calibri" w:eastAsia="Calibri" w:hAnsi="Calibri" w:cs="Calibri"/>
        <w:sz w:val="22"/>
        <w:szCs w:val="22"/>
      </w:rPr>
    </w:pPr>
  </w:p>
  <w:tbl>
    <w:tblPr>
      <w:tblStyle w:val="a2"/>
      <w:tblW w:w="10065" w:type="dxa"/>
      <w:tblInd w:w="-426" w:type="dxa"/>
      <w:tblLayout w:type="fixed"/>
      <w:tblLook w:val="0000" w:firstRow="0" w:lastRow="0" w:firstColumn="0" w:lastColumn="0" w:noHBand="0" w:noVBand="0"/>
    </w:tblPr>
    <w:tblGrid>
      <w:gridCol w:w="1844"/>
      <w:gridCol w:w="8221"/>
    </w:tblGrid>
    <w:tr w:rsidR="00117E43">
      <w:trPr>
        <w:trHeight w:val="1477"/>
      </w:trPr>
      <w:tc>
        <w:tcPr>
          <w:tcW w:w="1844" w:type="dxa"/>
          <w:vAlign w:val="center"/>
        </w:tcPr>
        <w:p w:rsidR="00117E43" w:rsidRDefault="00117E4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</w:p>
        <w:p w:rsidR="00117E43" w:rsidRDefault="00117E4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Courier New" w:eastAsia="Courier New" w:hAnsi="Courier New" w:cs="Courier New"/>
              <w:color w:val="000000"/>
              <w:sz w:val="20"/>
              <w:szCs w:val="20"/>
            </w:rPr>
          </w:pPr>
        </w:p>
      </w:tc>
      <w:tc>
        <w:tcPr>
          <w:tcW w:w="8221" w:type="dxa"/>
          <w:vAlign w:val="center"/>
        </w:tcPr>
        <w:p w:rsidR="00117E43" w:rsidRDefault="00000000">
          <w:pPr>
            <w:widowControl/>
            <w:pBdr>
              <w:top w:val="nil"/>
              <w:left w:val="nil"/>
              <w:bottom w:val="single" w:sz="24" w:space="1" w:color="622423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Sistema Integrado de Gestión – </w:t>
          </w:r>
          <w:r>
            <w:rPr>
              <w:b/>
              <w:color w:val="000000"/>
              <w:sz w:val="24"/>
              <w:szCs w:val="24"/>
            </w:rPr>
            <w:t>CF Gestión</w:t>
          </w:r>
        </w:p>
        <w:p w:rsidR="00117E43" w:rsidRDefault="00000000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CFG-PG-1.1 – CANAL DE DENUNCIAS, ED. 00 (10/09/2023)</w:t>
          </w:r>
        </w:p>
      </w:tc>
    </w:tr>
  </w:tbl>
  <w:p w:rsidR="00117E43" w:rsidRDefault="00117E43">
    <w:pPr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17E43" w:rsidRDefault="00117E4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p w:rsidR="00117E43" w:rsidRDefault="00117E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B5116"/>
    <w:multiLevelType w:val="multilevel"/>
    <w:tmpl w:val="E516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aconvietas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F83655"/>
    <w:multiLevelType w:val="multilevel"/>
    <w:tmpl w:val="1E9EFB0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86311595">
    <w:abstractNumId w:val="1"/>
  </w:num>
  <w:num w:numId="2" w16cid:durableId="58341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E43"/>
    <w:rsid w:val="00117E43"/>
    <w:rsid w:val="0016611A"/>
    <w:rsid w:val="00226239"/>
    <w:rsid w:val="00266E51"/>
    <w:rsid w:val="002C4DA4"/>
    <w:rsid w:val="005B0B1C"/>
    <w:rsid w:val="00643FC8"/>
    <w:rsid w:val="00907E8F"/>
    <w:rsid w:val="009455AE"/>
    <w:rsid w:val="00AB56E6"/>
    <w:rsid w:val="00B02EAC"/>
    <w:rsid w:val="00C37DD4"/>
    <w:rsid w:val="00E56A9C"/>
    <w:rsid w:val="00F7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8DD01"/>
  <w15:docId w15:val="{AC9243E4-7AC3-6943-962E-D86CE934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ES" w:eastAsia="es-ES_tradn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ind w:left="567" w:hanging="567"/>
      <w:jc w:val="both"/>
    </w:pPr>
    <w:rPr>
      <w:rFonts w:ascii="Cambria" w:hAnsi="Cambria"/>
      <w:b/>
      <w:sz w:val="22"/>
      <w:szCs w:val="22"/>
    </w:rPr>
  </w:style>
  <w:style w:type="paragraph" w:styleId="Ttulo2">
    <w:name w:val="heading 2"/>
    <w:basedOn w:val="Ttulo3"/>
    <w:next w:val="Normal"/>
    <w:uiPriority w:val="9"/>
    <w:semiHidden/>
    <w:unhideWhenUsed/>
    <w:qFormat/>
    <w:pPr>
      <w:ind w:left="284"/>
      <w:outlineLvl w:val="1"/>
    </w:pPr>
  </w:style>
  <w:style w:type="paragraph" w:styleId="Ttulo3">
    <w:name w:val="heading 3"/>
    <w:basedOn w:val="Normal"/>
    <w:next w:val="Normal"/>
    <w:uiPriority w:val="9"/>
    <w:semiHidden/>
    <w:unhideWhenUsed/>
    <w:qFormat/>
    <w:pPr>
      <w:tabs>
        <w:tab w:val="left" w:pos="426"/>
      </w:tabs>
      <w:ind w:left="600"/>
      <w:outlineLvl w:val="2"/>
    </w:pPr>
    <w:rPr>
      <w:rFonts w:ascii="Cambria" w:hAnsi="Cambria"/>
      <w:b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left="567" w:hanging="567"/>
      <w:jc w:val="both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ind w:left="567"/>
      <w:jc w:val="both"/>
      <w:outlineLvl w:val="4"/>
    </w:pPr>
    <w:rPr>
      <w:rFonts w:ascii="Comic Sans MS" w:hAnsi="Comic Sans MS"/>
      <w:b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ndusla1">
    <w:name w:val="Indusla 1"/>
    <w:basedOn w:val="Normal"/>
    <w:rPr>
      <w:sz w:val="22"/>
    </w:r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Listaconvietas">
    <w:name w:val="List Bullet"/>
    <w:basedOn w:val="Normal"/>
    <w:pPr>
      <w:numPr>
        <w:ilvl w:val="10"/>
        <w:numId w:val="2"/>
      </w:numPr>
      <w:ind w:left="283" w:hanging="283"/>
    </w:pPr>
  </w:style>
  <w:style w:type="paragraph" w:styleId="Sangradetextonormal">
    <w:name w:val="Body Text Indent"/>
    <w:basedOn w:val="Normal"/>
    <w:pPr>
      <w:numPr>
        <w:ilvl w:val="12"/>
      </w:numPr>
      <w:ind w:leftChars="-1" w:left="1134" w:hangingChars="1" w:hanging="1"/>
      <w:jc w:val="both"/>
    </w:pPr>
    <w:rPr>
      <w:sz w:val="24"/>
    </w:rPr>
  </w:style>
  <w:style w:type="paragraph" w:styleId="Sangra2detindependiente">
    <w:name w:val="Body Text Indent 2"/>
    <w:basedOn w:val="Normal"/>
    <w:pPr>
      <w:ind w:left="567"/>
      <w:jc w:val="both"/>
    </w:pPr>
    <w:rPr>
      <w:sz w:val="24"/>
    </w:rPr>
  </w:style>
  <w:style w:type="paragraph" w:styleId="Sangra3detindependiente">
    <w:name w:val="Body Text Indent 3"/>
    <w:basedOn w:val="Normal"/>
    <w:pPr>
      <w:ind w:left="709"/>
      <w:jc w:val="both"/>
    </w:pPr>
    <w:rPr>
      <w:sz w:val="24"/>
    </w:rPr>
  </w:style>
  <w:style w:type="paragraph" w:styleId="Textoindependiente">
    <w:name w:val="Body Text"/>
    <w:basedOn w:val="Normal"/>
    <w:pPr>
      <w:tabs>
        <w:tab w:val="left" w:pos="-1440"/>
        <w:tab w:val="left" w:pos="-720"/>
        <w:tab w:val="left" w:pos="284"/>
        <w:tab w:val="left" w:pos="709"/>
        <w:tab w:val="left" w:pos="1152"/>
        <w:tab w:val="left" w:pos="1440"/>
        <w:tab w:val="left" w:pos="1872"/>
        <w:tab w:val="left" w:pos="2160"/>
        <w:tab w:val="left" w:pos="2592"/>
        <w:tab w:val="left" w:pos="2880"/>
        <w:tab w:val="left" w:pos="3312"/>
        <w:tab w:val="left" w:pos="3600"/>
        <w:tab w:val="left" w:pos="4032"/>
        <w:tab w:val="left" w:pos="4320"/>
        <w:tab w:val="left" w:pos="4752"/>
        <w:tab w:val="left" w:pos="5040"/>
      </w:tabs>
      <w:suppressAutoHyphens w:val="0"/>
      <w:spacing w:before="60" w:after="60"/>
    </w:pPr>
    <w:rPr>
      <w:rFonts w:ascii="Comic Sans MS" w:hAnsi="Comic Sans MS"/>
      <w:color w:val="000000"/>
      <w:spacing w:val="-3"/>
      <w:sz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1"/>
    <w:qFormat/>
    <w:pPr>
      <w:ind w:left="708"/>
    </w:pPr>
  </w:style>
  <w:style w:type="paragraph" w:customStyle="1" w:styleId="TtulodeTDC">
    <w:name w:val="Título de TDC"/>
    <w:basedOn w:val="Ttulo1"/>
    <w:next w:val="Normal"/>
    <w:qFormat/>
    <w:pPr>
      <w:keepNext/>
      <w:keepLines/>
      <w:spacing w:before="480" w:line="276" w:lineRule="auto"/>
      <w:ind w:left="0" w:firstLine="0"/>
      <w:jc w:val="left"/>
      <w:outlineLvl w:val="9"/>
    </w:pPr>
    <w:rPr>
      <w:rFonts w:eastAsia="Times New Roman" w:cs="Times New Roman"/>
      <w:bCs/>
      <w:color w:val="365F91"/>
      <w:sz w:val="28"/>
      <w:szCs w:val="28"/>
      <w:lang w:eastAsia="en-US"/>
    </w:rPr>
  </w:style>
  <w:style w:type="paragraph" w:styleId="TDC1">
    <w:name w:val="toc 1"/>
    <w:basedOn w:val="Normal"/>
    <w:next w:val="Normal"/>
    <w:pPr>
      <w:spacing w:line="360" w:lineRule="auto"/>
    </w:pPr>
    <w:rPr>
      <w:rFonts w:ascii="Cambria" w:hAnsi="Cambria"/>
      <w:b/>
      <w:sz w:val="22"/>
    </w:rPr>
  </w:style>
  <w:style w:type="paragraph" w:styleId="TDC2">
    <w:name w:val="toc 2"/>
    <w:basedOn w:val="Normal"/>
    <w:next w:val="Normal"/>
    <w:pPr>
      <w:ind w:left="200"/>
    </w:pPr>
  </w:style>
  <w:style w:type="paragraph" w:styleId="TDC3">
    <w:name w:val="toc 3"/>
    <w:basedOn w:val="Normal"/>
    <w:next w:val="Normal"/>
    <w:pPr>
      <w:ind w:left="400"/>
    </w:p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EncabezadoCar">
    <w:name w:val="Encabezado Car"/>
    <w:uiPriority w:val="99"/>
    <w:rPr>
      <w:rFonts w:ascii="Arial" w:hAnsi="Arial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PiedepginaCar">
    <w:name w:val="Pie de página Car"/>
    <w:rPr>
      <w:rFonts w:ascii="Arial" w:hAnsi="Arial"/>
      <w:w w:val="100"/>
      <w:position w:val="-1"/>
      <w:effect w:val="none"/>
      <w:vertAlign w:val="baseline"/>
      <w:cs w:val="0"/>
      <w:em w:val="none"/>
      <w:lang w:val="es-ES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"/>
    <w:next w:val="TableNormal0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0350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BD22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2F5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es-ES_tradnl"/>
    </w:rPr>
  </w:style>
  <w:style w:type="table" w:customStyle="1" w:styleId="a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xLaSeza2BX+BcK/S42dMEQi45g==">CgMxLjA4AHIhMS1CWE9lVG5wcmlSclNVcVZJWWdWSlZOdHBNQlpjUlE5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ESAL</dc:creator>
  <cp:lastModifiedBy>Zaira Robles</cp:lastModifiedBy>
  <cp:revision>12</cp:revision>
  <dcterms:created xsi:type="dcterms:W3CDTF">2023-09-12T07:40:00Z</dcterms:created>
  <dcterms:modified xsi:type="dcterms:W3CDTF">2024-01-25T08:09:00Z</dcterms:modified>
</cp:coreProperties>
</file>